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개성공업지구 기업재정규정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제정 2005-06-28 주체9</w:t>
      </w:r>
      <w:bookmarkStart w:id="0" w:name="_GoBack"/>
      <w:bookmarkEnd w:id="0"/>
      <w:r w:rsidRPr="006D48B0">
        <w:rPr>
          <w:rFonts w:ascii="Batang" w:eastAsia="Batang" w:hAnsi="Batang" w:hint="eastAsia"/>
          <w:szCs w:val="24"/>
        </w:rPr>
        <w:t xml:space="preserve">4(최고인민회의 상임위원회결정 제57호로 채택) 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제1조(사명)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개성공업지구 기업의 자본조성과 리용, 리윤분배, 자본청산에서 제도와 질서를 엄격히 세워 재정관리를 규범화하는데 이바지한다.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제2조(적용대상)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공업지구관리기관에 등록된 기업과 영리활동을 하는 지사, 영업소, 개인업자(이 아래부터는 기업이라 한다)는 이 규정에 따라 재정관리를 한다. 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규정에서 정하지 않은 사항은 공업지구관리기관이 중앙공업지구지도기관과 협의하여 처리한다.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제3조(자본의 조성방식)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자본조성을 출자, 신용, 증여, 리윤저축 같은 방식으로 할수 있다.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제4조(등록자본)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등록자본은 기업을 설립하기 위하여 공업지구관리기관에 등록하고 투자한 자본이다. 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등록자본을 줄일수 없다.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제5조(등록자본의 규모)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등록자본은 자본총액의 10%이상으로 한다. 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자본총액이 늘어나는데 맞게 등록자본을 늘여야 한다.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제6조(투자의 형태)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투자를 화페재산, 유형재산, 무형재산으로 할수 있다. 이 경우 화페재산의 투자는 간환성외화로 하여야 한다. 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무형재산의 투자몫은 등록자본의 20%를 넘을수 없다.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제7조(투자의 인정시점)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투자의 인정시점은 다음과 같다.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화페재산은 공업지구에 설립된 은행에 입금시켰을 때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부동산은 공업지구관리기관에 등록수속을 끝냈을 때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부동산밖의 유형재산은 공업지구에서 정해진 수속을 끝냈을 때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무형재산은 도입 또는 리용으로 경제적리익이 발생하였을 때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제8조(투자재산의 가격)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유형재산과 무형재산의 가격은 국제시장가격에 준하여 정한다. 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국제시장가격보다 낮은 유형재산과 무형재산의 가격은 시장가격에 준하여 정한다.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제9조(유형재산의 내용년한)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유형재산의 내용년한은 다음과 같다.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건물, 구축물은 20년 이상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철도차량, 선박과 기계 같은 생산설비는 10년 이상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철도차량, 선박을 제외한 수송수단은 5년 이상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간자설비와 취득원가가 300US$ 이상인 공구, 비품은 3년 이상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제10조(유형재산의 감가상각)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유형 재산의 감가상각은 정액법, 정률법, 생산고비례법에 따라 한다. 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기업은 유형재산의 형태와 리용방식, 과학기술발간영향 같은것을 고려하여 감가상각방법을 합리적으로 선택할수 있다. 이 경우 선택한 감가상각방법은 유형재산의 내용년한이 끝날때까지 변경할수 없다.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제11조(유형재산의 잔존가치평가)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유형재산의 잔존가치는 취득원가의 5%이하로 평가할수 없다. 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유형재산의 잔존가치를 5%이하로 평가하려 할 경우 공업지구세무소의 승인을 받아야 한다.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제12조(무형재산의 내용년한)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무형 재산의 내용년한은 계약 또는 기업설립신청서에 정한 기간으로 한다. 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계약 또는 기업설립신청서에서 정하지 않은 무형재산의 내용년한은 예상수익기간으로 하며 예상수익기간을 확정할수 없을 경우에는 5년 이상으로 한다.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제13조(무형재산의 감가상각)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무형재산의 감가상각은 정액법 또는 생산고비례법에 따라 한다. 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무형재산의 잔존가치는 령으로 한다.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제14조(감가상각의 금지)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경영활동에 리용하지 않는 고정재산과 건설중에 있거나 완성하지 못한 고정재산, 시일이 지나도 가치가 감소되지 않는 고정재산에 대하여서는 감가상각을 하지 말아야 한다.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제15조(물품구입과 생산제품판매)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물품을 국제시장가격보다 현저히 높은 가격으로 구입하지 말아야 한다. 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생산한 제품은 국제시장가격보다 현저히 낮은 가격으로 판매할수 없다.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제16조(원가, 비용계산의 금지대상)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원가, 비용으로 계산하지 않는 지출 또는 손실은 다음과 같다.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재산의 구입을 위한 자본지출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자기 자본에 대한 리자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일반리자률보다 높은 리자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본사에 지불한 특허권사용료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5. 대외투자 및 관련기업을 대신하여 지출된 관리비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6. 기준을 초과한 회수불가능채권 및 대외사업비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7. 몰수당한 재산손실액, 위약금, 연체료, 벌금, 보상금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8. 당기순리윤으로 적립한 예비기금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9. 생산, 경영활동과 관련이 없는 지출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제17조(연구개발비)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연구개발비는 새로운 기술 또는 제품의 연구개발에 지출하는 비용이다. 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연구개발비를 5년간에 균등하게 나누어 계산하여야 한다.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제18조(대손충당금의 설정한도)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대손충당금은 회수불가능한 판매채권, 대부금, 미수금에 대하여 미리 설정한 자금이다. 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일반기업은 당해년도말 채권잔고의 1%, 금융기업은 2%에 해당한 금액을 대손충당금으로 설정할수 있다.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제19조(퇴직보조금지불 대상자와 규모)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1년 이상 일하다가 퇴직하는 종업원, 관리성원에게 퇴직보조금을 주어야 한다. 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퇴직보조금의 계산은 퇴직간 3개월간의 평균월로임에 일한 해수를 곱하는 방법으로 한다.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제20조(퇴직보조금지불충당금의 설정한도)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퇴직보조금지불충당금은 퇴직자들에게 보조금을 지불하기 위하여 미리 설정한 자금이다. 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1년이상 일한 종업원, 관리성원에게 지불하는 월로임총액의 5%에 해당한 금액을 퇴직보조금지불충당금으로 설정할수 있다.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제21조(종업원의 로임)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종업원의 로임을 공업지구 종업원 월최저로임보다 낮지 않게 지불하여야 한다. 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종업원에게 지불한 로임은 원가에 포함시켜 계산한다.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제22조(관리성원의 로임)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관리성원의 로임기준을 세금납부액을 감소시키지 않도록 규약에서 정하고 지불하여야 한다. 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관리성원에게 지불한 로임은 관리비에 포함시켜 계산한다.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제23조(종업원의 상금)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일을 잘한 종업원에게 상금을 줄수 있다. 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종업원에게 지불한 상금은 간액 원가에 포함시켜 계산한다.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제24조(관리성원의 상금)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기업이 관리성원에게 지불한 상금은 관리비에 포함시켜 계산한다. 그러나 종업원의 상금기준을 초과하여 관리성원에게 지불한 상금은 관리비에 넣어 계산할수 없다.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제25조(대외사업비의 지출)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생산부문, 상업부문의 기업은 순판매액이 200만US$까지는 그 금액의 0.5%를, 200만US$를 초과할 경우에는 초과액의 0.3%를 가산한 한도에서 대외사업비를 지출할수 있다. 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건설, 금융, 교통운수 같은 기타 봉사부문의 기업은 순영업액이 70만US$까지는 그 금액의 1%를, 70만US$를 초과한 경우에는 초과액의 0.5%를 가산한 한도에서 대외사업비를 지출할수 있다.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제26조(예비기금)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등록자본의 10%가 될 때까지 해마다 당기순리윤의 5%를 예비기금으로 적립하여야 한다. 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예비기금은 자본손실을 메꾸거나 등록자본을 늘이는데 쓸수 있다.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제27조(자체기금)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당기순리윤에서 예비기금과 리익배당금을 공제하고 원천이 있을 경우 자체기금을 적립할수 있다. 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자체기금은 확대재생산, 기술발간 같은 기금으로 쓸수 있다.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제28조(차입금상환)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차입금을 정한 기간안으로 상환하여야 한다. 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채권자를 찾지 못하여 상환할 수 없는 차입금은 예비기금에 포함시킨다.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제29조(채무의 평가)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채무를 당해년도에 부담하는 채무액으로 평가하여야 한다.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제30조(감독 및 제재)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 xml:space="preserve">이 규정의 집행에 대한 감독은 중앙공업지구지도기관이 한다. </w:t>
      </w:r>
    </w:p>
    <w:p w:rsidR="00B56553" w:rsidRPr="006D48B0" w:rsidRDefault="00B56553" w:rsidP="00B5655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중앙공업지구지도기관은 이 규정을 어기고 재정관리에서 엄중한 결과를 일으킨 기업에 벌금을 물리거나 영업을 중지시킬수 있다.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53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B1E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56553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2016-08-15T08:39:00Z</dcterms:created>
  <dcterms:modified xsi:type="dcterms:W3CDTF">2016-08-15T08:39:00Z</dcterms:modified>
</cp:coreProperties>
</file>